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AE024" w14:textId="77777777" w:rsidR="008322EB" w:rsidRPr="00481E21" w:rsidRDefault="008322EB" w:rsidP="008322E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2"/>
          <w:szCs w:val="12"/>
          <w:lang w:eastAsia="ru-RU"/>
        </w:rPr>
      </w:pPr>
    </w:p>
    <w:p w14:paraId="79959D0A" w14:textId="77777777" w:rsidR="00B81C5B" w:rsidRDefault="00B81C5B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BB69246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14:paraId="26167B32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 результатах публичных слушаний </w:t>
      </w:r>
    </w:p>
    <w:p w14:paraId="123FF2E2" w14:textId="4409C5D4" w:rsidR="0071135A" w:rsidRDefault="008B3D13" w:rsidP="00CB37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 проекту планировки территории и проекту межевания территории, предназначенной для размещения линейного объекта – автомобильный мост по ул. Шевченко –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</w:t>
      </w:r>
      <w:r w:rsidRP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ул. </w:t>
      </w:r>
      <w:proofErr w:type="gramStart"/>
      <w:r w:rsidRP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Северная</w:t>
      </w:r>
      <w:proofErr w:type="gramEnd"/>
      <w:r w:rsidRP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</w:p>
    <w:p w14:paraId="3A559068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14:paraId="7F91CA7B" w14:textId="77777777" w:rsidR="0071135A" w:rsidRPr="00D4789C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16"/>
          <w:lang w:eastAsia="ru-RU"/>
        </w:rPr>
      </w:pPr>
    </w:p>
    <w:p w14:paraId="1711D5AF" w14:textId="0BD70555" w:rsidR="0071135A" w:rsidRDefault="0071135A" w:rsidP="007113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26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»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43AA7"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8B3D1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573E9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Pr="0076795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г.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</w:t>
      </w:r>
      <w:r w:rsidR="0076795E"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</w:t>
      </w:r>
      <w:r w:rsidR="00C349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Pr="00767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город Благовещенск</w:t>
      </w:r>
    </w:p>
    <w:p w14:paraId="223F5DF0" w14:textId="77777777" w:rsidR="0071135A" w:rsidRPr="00C12737" w:rsidRDefault="0071135A" w:rsidP="0071135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14:paraId="74037EF9" w14:textId="77777777" w:rsidR="0071135A" w:rsidRPr="00C12737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16"/>
          <w:u w:val="single"/>
          <w:lang w:eastAsia="ru-RU"/>
        </w:rPr>
      </w:pPr>
    </w:p>
    <w:p w14:paraId="452B1EE7" w14:textId="77777777" w:rsidR="002D0FFE" w:rsidRPr="00C12737" w:rsidRDefault="00C572CC" w:rsidP="00C572C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Комиссия по Правилам землепользования и застройки </w:t>
      </w:r>
    </w:p>
    <w:p w14:paraId="224D54EB" w14:textId="77777777" w:rsidR="00C572CC" w:rsidRPr="00C12737" w:rsidRDefault="00C572CC" w:rsidP="00C572C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муниципального образования города Благовещенска (далее – Комиссия)</w:t>
      </w:r>
    </w:p>
    <w:p w14:paraId="0BBF7C6A" w14:textId="77777777" w:rsidR="00C572CC" w:rsidRPr="00C12737" w:rsidRDefault="00C572CC" w:rsidP="00C572C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14:paraId="4C149518" w14:textId="3BFE5BB8" w:rsidR="0071135A" w:rsidRPr="008B3D13" w:rsidRDefault="00C572CC" w:rsidP="00F64B2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провела публичные слушания </w:t>
      </w:r>
      <w:r w:rsidR="008B3D13" w:rsidRP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по проекту планировки территории и проекту межевания территории, предназначенной для размещения линейного объекта – автомобильный мост по ул. Шевченко – ул. </w:t>
      </w:r>
      <w:proofErr w:type="gramStart"/>
      <w:r w:rsidR="008B3D13" w:rsidRP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Северная</w:t>
      </w:r>
      <w:proofErr w:type="gramEnd"/>
      <w:r w:rsidR="008B3D13" w:rsidRP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71135A" w:rsidRP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14:paraId="4CA8A876" w14:textId="28117DB5" w:rsidR="0071135A" w:rsidRPr="00C12737" w:rsidRDefault="008B3D13" w:rsidP="008B3D1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</w:t>
      </w:r>
      <w:r w:rsidR="0071135A" w:rsidRPr="00C12737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14:paraId="7D53A289" w14:textId="77777777" w:rsidR="0071135A" w:rsidRPr="00C12737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1</w:t>
      </w:r>
      <w:r w:rsidR="00B673C0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.06.2018 № 46/56.</w:t>
      </w:r>
    </w:p>
    <w:p w14:paraId="0C8F62A6" w14:textId="261AE6FA" w:rsidR="0071135A" w:rsidRDefault="0071135A" w:rsidP="0071135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мэра города Благовещенска №</w:t>
      </w:r>
      <w:r w:rsidR="00B43AA7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 w:rsidR="008E3154" w:rsidRP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B43AA7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21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4652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25.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4652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="00CC7B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размещены на официальном сайте администрации города Благовещенска в информационно-телекоммуникационной сети «Интернет»</w:t>
      </w:r>
      <w:r w:rsidR="00F25C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официальном сетевом издании 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npa</w:t>
      </w:r>
      <w:proofErr w:type="spellEnd"/>
      <w:r w:rsidR="00F25C0A" w:rsidRPr="00F25C0A">
        <w:rPr>
          <w:rFonts w:ascii="Times New Roman" w:hAnsi="Times New Roman"/>
          <w:sz w:val="26"/>
          <w:szCs w:val="26"/>
        </w:rPr>
        <w:t>.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adm</w:t>
      </w:r>
      <w:r w:rsidR="008E3154">
        <w:rPr>
          <w:rFonts w:ascii="Times New Roman" w:hAnsi="Times New Roman"/>
          <w:sz w:val="26"/>
          <w:szCs w:val="26"/>
          <w:lang w:val="en-US"/>
        </w:rPr>
        <w:t>b</w:t>
      </w:r>
      <w:r w:rsidR="00F25C0A" w:rsidRPr="00F25C0A">
        <w:rPr>
          <w:rFonts w:ascii="Times New Roman" w:hAnsi="Times New Roman"/>
          <w:sz w:val="26"/>
          <w:szCs w:val="26"/>
          <w:lang w:val="en-US"/>
        </w:rPr>
        <w:t>lag</w:t>
      </w:r>
      <w:proofErr w:type="spellEnd"/>
      <w:r w:rsidR="00F25C0A" w:rsidRPr="00F25C0A">
        <w:rPr>
          <w:rFonts w:ascii="Times New Roman" w:hAnsi="Times New Roman"/>
          <w:sz w:val="26"/>
          <w:szCs w:val="26"/>
        </w:rPr>
        <w:t>.</w:t>
      </w:r>
      <w:proofErr w:type="spellStart"/>
      <w:r w:rsidR="00F25C0A" w:rsidRPr="00F25C0A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C86D3C"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9E471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8B3D1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9E471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E54E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C127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3C83DF6" w14:textId="7A8DE312" w:rsidR="00D4789C" w:rsidRDefault="00D4789C" w:rsidP="00D4789C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Pr="00E75E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25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E54E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="00CC7B61" w:rsidRPr="00CC7B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30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8810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8E315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CC7B61" w:rsidRPr="00CC7B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.2020</w:t>
      </w:r>
      <w:r w:rsidRPr="00E75E3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</w:t>
      </w:r>
      <w:r w:rsidR="00E54E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36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дней)</w:t>
      </w:r>
    </w:p>
    <w:p w14:paraId="63FE0764" w14:textId="77777777" w:rsidR="00D4789C" w:rsidRPr="00D92130" w:rsidRDefault="00D4789C" w:rsidP="00D4789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6E7F71" w14:textId="04152251" w:rsidR="00D4789C" w:rsidRDefault="00D4789C" w:rsidP="00D478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2236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8810C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22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810C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</w:t>
      </w:r>
      <w:r w:rsidR="0012353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611BCC0B" w14:textId="77777777" w:rsidR="00D4789C" w:rsidRDefault="00D4789C" w:rsidP="00D478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14:paraId="026FB278" w14:textId="09FC3CC2" w:rsidR="00D4789C" w:rsidRDefault="00D4789C" w:rsidP="00914F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8810C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</w:t>
      </w:r>
      <w:r w:rsidR="00075AC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» </w:t>
      </w:r>
      <w:r w:rsidR="008810C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12353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20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года на собрании участников публичных слушаний рассмотрен </w:t>
      </w:r>
      <w:r w:rsidR="003E5AE0" w:rsidRPr="003E5AE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проект планировки территории и проект межевания территории, предназначенной для размещения линейного объекта – автомобильный мост по ул. Шевченко – ул. </w:t>
      </w:r>
      <w:proofErr w:type="gramStart"/>
      <w:r w:rsidR="003E5AE0" w:rsidRPr="003E5AE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Северная</w:t>
      </w:r>
      <w:proofErr w:type="gramEnd"/>
      <w:r w:rsidR="003E5AE0" w:rsidRPr="003E5AE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121E4B5C" w14:textId="7396864F" w:rsidR="00D4789C" w:rsidRDefault="003E5AE0" w:rsidP="003E5AE0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</w:t>
      </w:r>
      <w:r w:rsidR="00D4789C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14:paraId="71832B04" w14:textId="49B026BF" w:rsidR="00D4789C" w:rsidRDefault="00787C1A" w:rsidP="00D478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4789C" w:rsidRPr="0064418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публичных слушаниях приняло участие – </w:t>
      </w:r>
      <w:r w:rsidR="00473BA2">
        <w:rPr>
          <w:rFonts w:ascii="Times New Roman" w:hAnsi="Times New Roman" w:cs="Times New Roman"/>
          <w:sz w:val="26"/>
          <w:szCs w:val="26"/>
          <w:u w:val="single"/>
          <w:lang w:eastAsia="ru-RU"/>
        </w:rPr>
        <w:t>отсутствуют</w:t>
      </w:r>
      <w:r w:rsidR="00D4789C" w:rsidRPr="0064418A">
        <w:rPr>
          <w:rFonts w:ascii="Times New Roman" w:hAnsi="Times New Roman" w:cs="Times New Roman"/>
          <w:sz w:val="26"/>
          <w:szCs w:val="26"/>
          <w:u w:val="single"/>
          <w:lang w:eastAsia="ru-RU"/>
        </w:rPr>
        <w:t>.</w:t>
      </w:r>
    </w:p>
    <w:p w14:paraId="50162C24" w14:textId="77777777" w:rsidR="00530857" w:rsidRPr="00061CF0" w:rsidRDefault="00530857" w:rsidP="005308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 участников 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14:paraId="3C83FD0A" w14:textId="7E216443" w:rsidR="009A7C34" w:rsidRDefault="009A7C34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C4B4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proofErr w:type="spellStart"/>
      <w:r w:rsidR="00DA7C23" w:rsidRPr="00DA7C23">
        <w:rPr>
          <w:rFonts w:ascii="Times New Roman" w:hAnsi="Times New Roman" w:cs="Times New Roman"/>
          <w:sz w:val="26"/>
          <w:szCs w:val="26"/>
          <w:u w:val="single"/>
        </w:rPr>
        <w:t>Носоченко</w:t>
      </w:r>
      <w:proofErr w:type="spellEnd"/>
      <w:r w:rsidR="00DA7C23" w:rsidRPr="00DA7C23">
        <w:rPr>
          <w:rFonts w:ascii="Times New Roman" w:hAnsi="Times New Roman" w:cs="Times New Roman"/>
          <w:sz w:val="26"/>
          <w:szCs w:val="26"/>
          <w:u w:val="single"/>
        </w:rPr>
        <w:t xml:space="preserve"> Александр Николаевич – представител</w:t>
      </w:r>
      <w:r w:rsidR="00DA7C23">
        <w:rPr>
          <w:rFonts w:ascii="Times New Roman" w:hAnsi="Times New Roman" w:cs="Times New Roman"/>
          <w:sz w:val="26"/>
          <w:szCs w:val="26"/>
          <w:u w:val="single"/>
        </w:rPr>
        <w:t>ь</w:t>
      </w:r>
      <w:r w:rsidR="00DA7C23" w:rsidRPr="00DA7C23">
        <w:rPr>
          <w:rFonts w:ascii="Times New Roman" w:hAnsi="Times New Roman" w:cs="Times New Roman"/>
          <w:sz w:val="26"/>
          <w:szCs w:val="26"/>
          <w:u w:val="single"/>
        </w:rPr>
        <w:t xml:space="preserve"> разработчика Проекта</w:t>
      </w:r>
      <w:r w:rsidRPr="005065D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14:paraId="3D982FB7" w14:textId="62C4BCC7" w:rsid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 пояснил, что ц</w:t>
      </w: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елью разработки Проекта является установление границ земельных участков, предназначенных для строительства и последующей эксплуатации линейного объекта – автомобильный мост по ул. Шевченко – ул. 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Северная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Благовещенска. </w:t>
      </w:r>
    </w:p>
    <w:p w14:paraId="7DD5465D" w14:textId="77777777" w:rsidR="00EB6AC8" w:rsidRDefault="00EB6AC8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F946E8" w14:textId="77777777" w:rsidR="00EB6AC8" w:rsidRPr="00DA7C23" w:rsidRDefault="00EB6AC8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6B4A90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Площадь для разработки Проекта составляет 0,2 га.</w:t>
      </w:r>
    </w:p>
    <w:p w14:paraId="391829F0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реализации принятых проектных решений и утвержденного Генерального плана города Благовещенска, 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Шевченко, проходящая по рассматриваемому мостовому сооружению имеет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параметры:</w:t>
      </w:r>
    </w:p>
    <w:p w14:paraId="6F0DBBCB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Категория улицы - Улицы и дороги местного значения: - Улица в зонах жилой застройке;</w:t>
      </w:r>
    </w:p>
    <w:p w14:paraId="7CEA5241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расчетная скорость движения – 50 км/ч;</w:t>
      </w:r>
    </w:p>
    <w:p w14:paraId="44627D07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протяженность проезжей части в границах проекта – 61,35 м;</w:t>
      </w:r>
    </w:p>
    <w:p w14:paraId="1163414C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ширина полосы движения – 3,5 м;</w:t>
      </w:r>
    </w:p>
    <w:p w14:paraId="27CCCC97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число полос движения – 4 шт.;</w:t>
      </w:r>
    </w:p>
    <w:p w14:paraId="76D1775F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наибольший продольный уклон – 15 ‰;</w:t>
      </w:r>
    </w:p>
    <w:p w14:paraId="5CDD7265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ширина пешеходной части проектируемого тротуара – 2,0 м;</w:t>
      </w:r>
    </w:p>
    <w:p w14:paraId="367A6256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пропускная способность 2-х полос одного направления, с учетом коэффициента изменения пропускной способности – не более 1520 ед./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; - расчетная интенсивность движения – не более 6000 ед./</w:t>
      </w:r>
      <w:proofErr w:type="spell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сут</w:t>
      </w:r>
      <w:proofErr w:type="spell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01B4853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расчетная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годовая грузонапряженность – свыше 200 до 500 тыс. </w:t>
      </w:r>
      <w:proofErr w:type="spell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ткм</w:t>
      </w:r>
      <w:proofErr w:type="spell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/км;</w:t>
      </w:r>
    </w:p>
    <w:p w14:paraId="01B24BC8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ширина в красных линиях – 33,6 м;</w:t>
      </w:r>
    </w:p>
    <w:p w14:paraId="3011F0E7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покрытие проезжей части – асфальтобетон;</w:t>
      </w:r>
    </w:p>
    <w:p w14:paraId="3B539F11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длина мостового сооружения – 19,4 м;</w:t>
      </w:r>
    </w:p>
    <w:p w14:paraId="120A3528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число полос на мостовом сооружении – 4 </w:t>
      </w:r>
      <w:proofErr w:type="spellStart"/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шт</w:t>
      </w:r>
      <w:proofErr w:type="spellEnd"/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CA5FB2D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ширина мостового сооружения по проезжей части 14,35 м;</w:t>
      </w:r>
    </w:p>
    <w:p w14:paraId="76A1B74D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ширина тротуаров мостового сооружения 2,0 м;</w:t>
      </w:r>
    </w:p>
    <w:p w14:paraId="3501E987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водопропускные трубы под мостовым сооружением, габаритами – 2(h)х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,5 м;</w:t>
      </w:r>
    </w:p>
    <w:p w14:paraId="2568B0E4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количество водопропускных труб – 2 </w:t>
      </w:r>
      <w:proofErr w:type="spellStart"/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шт</w:t>
      </w:r>
      <w:proofErr w:type="spellEnd"/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C56F44B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грузонапряженность, пропускная способность, интенсивность движения соответствуют параметрам примыкающей автомобильной дороге.</w:t>
      </w:r>
    </w:p>
    <w:p w14:paraId="6EE6B670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обеспечения отведения поверхностных стоков с территории моста проектом закладывается строительство ливневой канализации открытого типа (водоотводного лотка, перекрытого металлической решеткой). Поверхностные 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стоки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попадая в лоток, затем направляются в существующую подземную городскую ливневую канализацию. Перед сбросом в существующий водоем реки </w:t>
      </w:r>
      <w:proofErr w:type="spell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Бурхановка</w:t>
      </w:r>
      <w:proofErr w:type="spell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произвести строительство локальных очистных сооружений (ЛОС) ливневых стоков, которые должны очищать стоки до нормативных требований. Руководствуясь подпунктом 5, пункта 7.1.13, СанПиН 2.2.1/2.1.1.1200-03 "Санитарно-защитные зоны и санитарная классификация предприятий, сооружений и иных объектов" (утв. постановлением Главного государственного санитарного врача РФ             от 25 сентября 2007 г. N 74), с изменениями от 25.04.2014 года размер санитарно-защитной зоны (СЗЗ) </w:t>
      </w:r>
      <w:proofErr w:type="gramStart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очистных сооружений поверхностного стока закрытого типа до жилой застройки следует принимать равным 50 метрам. Для уменьшения размеров СЗЗ необходимо разработать отдельный проект СЗЗ ЛОС поверхностного стока закрытого типа.</w:t>
      </w:r>
    </w:p>
    <w:p w14:paraId="23F1D4AF" w14:textId="77777777" w:rsidR="00DA7C23" w:rsidRPr="00DA7C23" w:rsidRDefault="00DA7C23" w:rsidP="00DA7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7C2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отведения ливневых стоков за пределы проекта планировки предлагается строительство ливневой канализации открытого типа – монолитного железобетонного лотка, перекрытого металлической решеткой, для пропуска автотранспорта. Общая протяженность водоотводного монолитного железобетонного лотка составит 18 м.</w:t>
      </w:r>
    </w:p>
    <w:p w14:paraId="3592435D" w14:textId="77777777" w:rsidR="00DA7C23" w:rsidRDefault="00DA7C23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p w14:paraId="09CD6EFB" w14:textId="77777777" w:rsidR="008A63C3" w:rsidRDefault="008A63C3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p w14:paraId="292755CC" w14:textId="77777777" w:rsidR="008A63C3" w:rsidRDefault="008A63C3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p w14:paraId="651338F1" w14:textId="77777777" w:rsidR="008A63C3" w:rsidRDefault="008A63C3" w:rsidP="009A7C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p w14:paraId="31AB761A" w14:textId="77777777" w:rsidR="008050F9" w:rsidRDefault="008050F9" w:rsidP="008050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ходе проведения публичных слушаний в Комиссию от участников публичных слушаний поступили следующие предложения и замечания по проекту:</w:t>
      </w:r>
    </w:p>
    <w:p w14:paraId="495D68F9" w14:textId="77777777" w:rsidR="00D4789C" w:rsidRDefault="00D4789C" w:rsidP="0076795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3"/>
        <w:gridCol w:w="5023"/>
      </w:tblGrid>
      <w:tr w:rsidR="0071135A" w:rsidRPr="007F0DDF" w14:paraId="426CC3A8" w14:textId="77777777" w:rsidTr="0071135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F6F2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14:paraId="175E5744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постоянно проживающих на территории, </w:t>
            </w:r>
          </w:p>
          <w:p w14:paraId="19468BC5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которой проводились публичные слушания</w:t>
            </w:r>
          </w:p>
        </w:tc>
      </w:tr>
      <w:tr w:rsidR="0071135A" w:rsidRPr="007F0DDF" w14:paraId="2B6562E0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DB9F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4991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465AFB3E" w14:textId="77777777" w:rsidR="0071135A" w:rsidRPr="007F0DDF" w:rsidRDefault="0071135A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76795E" w:rsidRPr="007F0DDF" w14:paraId="14A45E64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EDAF" w14:textId="337C4159" w:rsidR="0076795E" w:rsidRPr="000B3F00" w:rsidRDefault="00975D78" w:rsidP="001E4761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4942" w14:textId="77777777" w:rsidR="0076795E" w:rsidRDefault="0076795E" w:rsidP="001E4761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14:paraId="00C5EE03" w14:textId="77777777" w:rsidR="0071135A" w:rsidRPr="007F0DDF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3"/>
        <w:gridCol w:w="5023"/>
      </w:tblGrid>
      <w:tr w:rsidR="0071135A" w14:paraId="2D8C1C4E" w14:textId="77777777" w:rsidTr="0071135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87BC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0D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 и замечания иных участников публичных слушаний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135A" w14:paraId="7CAF8A25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9594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4647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14:paraId="3EA5E0D8" w14:textId="77777777" w:rsidR="0071135A" w:rsidRDefault="007113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71135A" w14:paraId="426196C4" w14:textId="77777777" w:rsidTr="0071135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98D0" w14:textId="7D734E18" w:rsidR="00975D78" w:rsidRDefault="00A20A48" w:rsidP="0076795E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48A5" w14:textId="35EEC7A0" w:rsidR="0071135A" w:rsidRDefault="00A20A48" w:rsidP="0076795E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14:paraId="34E1B937" w14:textId="77777777" w:rsidR="0071135A" w:rsidRDefault="0071135A" w:rsidP="007113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55F6257" w14:textId="3B653E34" w:rsidR="00347BF2" w:rsidRPr="00EB706A" w:rsidRDefault="00347BF2" w:rsidP="000B3F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Комиссия рекомендует: </w:t>
      </w:r>
      <w:r w:rsidR="00A4224E" w:rsidRPr="00F93BC6">
        <w:rPr>
          <w:rFonts w:ascii="Times New Roman" w:eastAsia="Calibri" w:hAnsi="Times New Roman" w:cs="Times New Roman"/>
          <w:bCs/>
          <w:sz w:val="26"/>
          <w:szCs w:val="26"/>
          <w:u w:val="single"/>
          <w:lang w:eastAsia="ru-RU"/>
        </w:rPr>
        <w:t>представить Проект мэру города Благовещенска для утверждения</w:t>
      </w:r>
      <w:r w:rsidR="00A4224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B3F0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учитывая, что публичные слушания не выявили отрицательного мнения</w:t>
      </w:r>
      <w:r w:rsidR="000B3F00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B3F00"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граждан или юридических лиц</w:t>
      </w:r>
      <w:r w:rsidR="000B3F00" w:rsidRPr="00CC6A8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  <w:r w:rsidRPr="007F6D0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7F6D09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774C7CB1" w14:textId="77777777" w:rsidR="003B0664" w:rsidRPr="003B0664" w:rsidRDefault="003B0664" w:rsidP="00787C1A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B0664">
        <w:rPr>
          <w:rFonts w:ascii="Times New Roman" w:eastAsia="Calibri" w:hAnsi="Times New Roman" w:cs="Times New Roman"/>
          <w:sz w:val="20"/>
          <w:szCs w:val="20"/>
          <w:lang w:eastAsia="ru-RU"/>
        </w:rPr>
        <w:t>(аргументированные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слушаний)</w:t>
      </w:r>
    </w:p>
    <w:p w14:paraId="4C589161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CCE1279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14:paraId="08A79CCE" w14:textId="5718B8FA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</w:t>
      </w:r>
      <w:r w:rsidR="00C34D87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C34D87" w:rsidRPr="00C34D87">
        <w:t xml:space="preserve"> </w:t>
      </w:r>
      <w:r w:rsidR="00C34D87" w:rsidRPr="00C34D87">
        <w:rPr>
          <w:rFonts w:ascii="Times New Roman" w:eastAsia="Calibri" w:hAnsi="Times New Roman" w:cs="Times New Roman"/>
          <w:sz w:val="26"/>
          <w:szCs w:val="26"/>
          <w:lang w:eastAsia="ru-RU"/>
        </w:rPr>
        <w:t>официальном сетевом издании npa.admblag.ru</w:t>
      </w:r>
      <w:bookmarkStart w:id="0" w:name="_GoBack"/>
      <w:bookmarkEnd w:id="0"/>
      <w:r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21372D3B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CCEF238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A2F3A9E" w14:textId="77777777" w:rsidR="003B0664" w:rsidRPr="003B0664" w:rsidRDefault="003B0664" w:rsidP="003B06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0E884EE" w14:textId="326412F8" w:rsidR="001A7DB3" w:rsidRDefault="00F254CF" w:rsidP="008767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Председатель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Комиссии                                 </w:t>
      </w:r>
      <w:r w:rsidR="001F7D7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</w:t>
      </w:r>
      <w:r w:rsid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3E5AE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3B0664" w:rsidRPr="003B06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3E5AE0">
        <w:rPr>
          <w:rFonts w:ascii="Times New Roman" w:eastAsia="Calibri" w:hAnsi="Times New Roman" w:cs="Times New Roman"/>
          <w:sz w:val="26"/>
          <w:szCs w:val="26"/>
          <w:lang w:eastAsia="ru-RU"/>
        </w:rPr>
        <w:t>А.Е. Воронов</w:t>
      </w:r>
    </w:p>
    <w:sectPr w:rsidR="001A7DB3" w:rsidSect="00481E21">
      <w:headerReference w:type="default" r:id="rId8"/>
      <w:headerReference w:type="first" r:id="rId9"/>
      <w:pgSz w:w="11905" w:h="16838" w:code="9"/>
      <w:pgMar w:top="709" w:right="565" w:bottom="851" w:left="1418" w:header="426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AB345" w14:textId="77777777" w:rsidR="00DA7C23" w:rsidRDefault="00DA7C23">
      <w:pPr>
        <w:spacing w:after="0" w:line="240" w:lineRule="auto"/>
      </w:pPr>
      <w:r>
        <w:separator/>
      </w:r>
    </w:p>
  </w:endnote>
  <w:endnote w:type="continuationSeparator" w:id="0">
    <w:p w14:paraId="374D9F7F" w14:textId="77777777" w:rsidR="00DA7C23" w:rsidRDefault="00DA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384B0" w14:textId="77777777" w:rsidR="00DA7C23" w:rsidRDefault="00DA7C23">
      <w:pPr>
        <w:spacing w:after="0" w:line="240" w:lineRule="auto"/>
      </w:pPr>
      <w:r>
        <w:separator/>
      </w:r>
    </w:p>
  </w:footnote>
  <w:footnote w:type="continuationSeparator" w:id="0">
    <w:p w14:paraId="778581AD" w14:textId="77777777" w:rsidR="00DA7C23" w:rsidRDefault="00DA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126E7" w14:textId="77777777" w:rsidR="00DA7C23" w:rsidRDefault="00DA7C23">
    <w:pPr>
      <w:pStyle w:val="a3"/>
      <w:jc w:val="center"/>
    </w:pPr>
  </w:p>
  <w:p w14:paraId="073E429D" w14:textId="77777777" w:rsidR="00DA7C23" w:rsidRDefault="00DA7C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34D87">
      <w:rPr>
        <w:noProof/>
      </w:rPr>
      <w:t>3</w:t>
    </w:r>
    <w:r>
      <w:fldChar w:fldCharType="end"/>
    </w:r>
  </w:p>
  <w:p w14:paraId="7A8E3A94" w14:textId="77777777" w:rsidR="00DA7C23" w:rsidRDefault="00DA7C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4FFF3" w14:textId="77777777" w:rsidR="00DA7C23" w:rsidRPr="008322EB" w:rsidRDefault="00DA7C23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sz w:val="24"/>
        <w:szCs w:val="24"/>
        <w:lang w:eastAsia="ru-RU"/>
      </w:rPr>
      <w:t>АДМИНИСТРАЦИЯ ГОРОДА БЛАГОВЕЩЕНСКА</w:t>
    </w:r>
  </w:p>
  <w:p w14:paraId="4B1BDA74" w14:textId="77777777" w:rsidR="00DA7C23" w:rsidRPr="008322EB" w:rsidRDefault="00DA7C23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b/>
        <w:sz w:val="24"/>
        <w:szCs w:val="24"/>
        <w:lang w:eastAsia="ru-RU"/>
      </w:rPr>
      <w:t>КОМИССИЯ ПО ПРАВИЛАМ ЗЕМЛЕПОЛЬЗОВАНИЯ И ЗАСТРОЙКИ МУНИЦИПАЛЬНОГО ОБРАЗОВАНИЯ ГОРОДА БЛАГОВЕЩЕНСКА</w:t>
    </w:r>
  </w:p>
  <w:p w14:paraId="0698716E" w14:textId="77777777" w:rsidR="00DA7C23" w:rsidRPr="008322EB" w:rsidRDefault="00DA7C23" w:rsidP="00481E21">
    <w:pPr>
      <w:spacing w:after="0" w:line="240" w:lineRule="auto"/>
      <w:ind w:right="-1"/>
      <w:jc w:val="center"/>
      <w:rPr>
        <w:rFonts w:ascii="Times New Roman" w:eastAsia="Calibri" w:hAnsi="Times New Roman" w:cs="Times New Roman"/>
        <w:b/>
        <w:sz w:val="6"/>
        <w:szCs w:val="6"/>
      </w:rPr>
    </w:pPr>
    <w:r w:rsidRPr="008322EB">
      <w:rPr>
        <w:rFonts w:ascii="Times New Roman" w:eastAsia="Calibri" w:hAnsi="Times New Roman" w:cs="Times New Roman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0336E"/>
    <w:rsid w:val="00004B61"/>
    <w:rsid w:val="00022BF8"/>
    <w:rsid w:val="00023C6C"/>
    <w:rsid w:val="00043AAB"/>
    <w:rsid w:val="00061CF0"/>
    <w:rsid w:val="000731E9"/>
    <w:rsid w:val="00075AC8"/>
    <w:rsid w:val="00080326"/>
    <w:rsid w:val="00081C29"/>
    <w:rsid w:val="00081D1F"/>
    <w:rsid w:val="0009484E"/>
    <w:rsid w:val="000B3F00"/>
    <w:rsid w:val="000E7074"/>
    <w:rsid w:val="00116E59"/>
    <w:rsid w:val="00123536"/>
    <w:rsid w:val="00123E12"/>
    <w:rsid w:val="00125765"/>
    <w:rsid w:val="00135901"/>
    <w:rsid w:val="00160A1D"/>
    <w:rsid w:val="001874E9"/>
    <w:rsid w:val="001A7DB3"/>
    <w:rsid w:val="001D07D7"/>
    <w:rsid w:val="001D0E12"/>
    <w:rsid w:val="001D47AA"/>
    <w:rsid w:val="001E4761"/>
    <w:rsid w:val="001F7D79"/>
    <w:rsid w:val="002145BA"/>
    <w:rsid w:val="0022367E"/>
    <w:rsid w:val="00293631"/>
    <w:rsid w:val="00294715"/>
    <w:rsid w:val="00297F68"/>
    <w:rsid w:val="002A0D84"/>
    <w:rsid w:val="002A1663"/>
    <w:rsid w:val="002D0FFE"/>
    <w:rsid w:val="003115D6"/>
    <w:rsid w:val="00313EE3"/>
    <w:rsid w:val="00333AF1"/>
    <w:rsid w:val="00337DE1"/>
    <w:rsid w:val="00347BF2"/>
    <w:rsid w:val="00372572"/>
    <w:rsid w:val="003B0664"/>
    <w:rsid w:val="003B43D9"/>
    <w:rsid w:val="003C293C"/>
    <w:rsid w:val="003D345D"/>
    <w:rsid w:val="003E21E6"/>
    <w:rsid w:val="003E5AE0"/>
    <w:rsid w:val="003E6BB1"/>
    <w:rsid w:val="00421EA6"/>
    <w:rsid w:val="00440BD0"/>
    <w:rsid w:val="00441C8B"/>
    <w:rsid w:val="00442172"/>
    <w:rsid w:val="0045106F"/>
    <w:rsid w:val="004650BE"/>
    <w:rsid w:val="00465212"/>
    <w:rsid w:val="00473BA2"/>
    <w:rsid w:val="0047512B"/>
    <w:rsid w:val="00481E21"/>
    <w:rsid w:val="004B488C"/>
    <w:rsid w:val="004C18C0"/>
    <w:rsid w:val="004D56F3"/>
    <w:rsid w:val="004F3B4D"/>
    <w:rsid w:val="005065DC"/>
    <w:rsid w:val="00522D67"/>
    <w:rsid w:val="005248E8"/>
    <w:rsid w:val="00527D80"/>
    <w:rsid w:val="00530857"/>
    <w:rsid w:val="005371AD"/>
    <w:rsid w:val="00544D6B"/>
    <w:rsid w:val="005461F5"/>
    <w:rsid w:val="0056799D"/>
    <w:rsid w:val="00573E9D"/>
    <w:rsid w:val="005830FA"/>
    <w:rsid w:val="005A06E4"/>
    <w:rsid w:val="005B5D8E"/>
    <w:rsid w:val="005F7068"/>
    <w:rsid w:val="00600A69"/>
    <w:rsid w:val="00604BDD"/>
    <w:rsid w:val="00605AA8"/>
    <w:rsid w:val="0064418A"/>
    <w:rsid w:val="006636BA"/>
    <w:rsid w:val="006661F3"/>
    <w:rsid w:val="006853E1"/>
    <w:rsid w:val="006F50AE"/>
    <w:rsid w:val="0071135A"/>
    <w:rsid w:val="00713A1C"/>
    <w:rsid w:val="00737519"/>
    <w:rsid w:val="00742F63"/>
    <w:rsid w:val="007469C8"/>
    <w:rsid w:val="0076795E"/>
    <w:rsid w:val="00787C1A"/>
    <w:rsid w:val="007D610E"/>
    <w:rsid w:val="007E58A7"/>
    <w:rsid w:val="007F0DDF"/>
    <w:rsid w:val="007F6D09"/>
    <w:rsid w:val="0080016A"/>
    <w:rsid w:val="008050F9"/>
    <w:rsid w:val="008237A4"/>
    <w:rsid w:val="00831197"/>
    <w:rsid w:val="008322EB"/>
    <w:rsid w:val="008427A5"/>
    <w:rsid w:val="00850A3B"/>
    <w:rsid w:val="0085206C"/>
    <w:rsid w:val="00876797"/>
    <w:rsid w:val="008810C0"/>
    <w:rsid w:val="008A63C3"/>
    <w:rsid w:val="008A6415"/>
    <w:rsid w:val="008B3D13"/>
    <w:rsid w:val="008B6E61"/>
    <w:rsid w:val="008D508D"/>
    <w:rsid w:val="008D62BC"/>
    <w:rsid w:val="008E3154"/>
    <w:rsid w:val="008F0E71"/>
    <w:rsid w:val="00914F29"/>
    <w:rsid w:val="0096352D"/>
    <w:rsid w:val="00975D78"/>
    <w:rsid w:val="009771C9"/>
    <w:rsid w:val="009A7C34"/>
    <w:rsid w:val="009E4716"/>
    <w:rsid w:val="009F5000"/>
    <w:rsid w:val="00A0553C"/>
    <w:rsid w:val="00A20A48"/>
    <w:rsid w:val="00A4224E"/>
    <w:rsid w:val="00A47721"/>
    <w:rsid w:val="00A60F4B"/>
    <w:rsid w:val="00AC5F38"/>
    <w:rsid w:val="00AD2265"/>
    <w:rsid w:val="00AD5C68"/>
    <w:rsid w:val="00AF0A5F"/>
    <w:rsid w:val="00B21FC5"/>
    <w:rsid w:val="00B43AA7"/>
    <w:rsid w:val="00B62804"/>
    <w:rsid w:val="00B673C0"/>
    <w:rsid w:val="00B70842"/>
    <w:rsid w:val="00B81C5B"/>
    <w:rsid w:val="00B83572"/>
    <w:rsid w:val="00BA2CD9"/>
    <w:rsid w:val="00BC7906"/>
    <w:rsid w:val="00BD6AD7"/>
    <w:rsid w:val="00BF74E1"/>
    <w:rsid w:val="00C12737"/>
    <w:rsid w:val="00C3492C"/>
    <w:rsid w:val="00C34D87"/>
    <w:rsid w:val="00C5013E"/>
    <w:rsid w:val="00C572CC"/>
    <w:rsid w:val="00C71585"/>
    <w:rsid w:val="00C86D3C"/>
    <w:rsid w:val="00C91535"/>
    <w:rsid w:val="00CB37CC"/>
    <w:rsid w:val="00CC7B61"/>
    <w:rsid w:val="00D15E89"/>
    <w:rsid w:val="00D31888"/>
    <w:rsid w:val="00D42732"/>
    <w:rsid w:val="00D4789C"/>
    <w:rsid w:val="00D72077"/>
    <w:rsid w:val="00D900BA"/>
    <w:rsid w:val="00D92130"/>
    <w:rsid w:val="00DA7C23"/>
    <w:rsid w:val="00DD1820"/>
    <w:rsid w:val="00E03245"/>
    <w:rsid w:val="00E15967"/>
    <w:rsid w:val="00E213C8"/>
    <w:rsid w:val="00E25046"/>
    <w:rsid w:val="00E5350B"/>
    <w:rsid w:val="00E54E08"/>
    <w:rsid w:val="00E63372"/>
    <w:rsid w:val="00EB6AC8"/>
    <w:rsid w:val="00EB706A"/>
    <w:rsid w:val="00ED062C"/>
    <w:rsid w:val="00ED1296"/>
    <w:rsid w:val="00F012B7"/>
    <w:rsid w:val="00F10D6C"/>
    <w:rsid w:val="00F12C08"/>
    <w:rsid w:val="00F254CF"/>
    <w:rsid w:val="00F25C0A"/>
    <w:rsid w:val="00F53CE1"/>
    <w:rsid w:val="00F64B2E"/>
    <w:rsid w:val="00F65BC7"/>
    <w:rsid w:val="00F93BC6"/>
    <w:rsid w:val="00F96C89"/>
    <w:rsid w:val="00FA56CE"/>
    <w:rsid w:val="00FF104F"/>
    <w:rsid w:val="00FF167E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C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36D4-D36A-40D3-9BD2-75EB19C9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Оникийчук Ольга Николаевна</cp:lastModifiedBy>
  <cp:revision>133</cp:revision>
  <cp:lastPrinted>2020-10-26T00:40:00Z</cp:lastPrinted>
  <dcterms:created xsi:type="dcterms:W3CDTF">2018-05-23T06:46:00Z</dcterms:created>
  <dcterms:modified xsi:type="dcterms:W3CDTF">2020-10-26T00:40:00Z</dcterms:modified>
</cp:coreProperties>
</file>